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F3EF7" w14:textId="77777777" w:rsidR="00AD6366" w:rsidRDefault="00AD6366" w:rsidP="004902BE">
      <w:pPr>
        <w:widowControl w:val="0"/>
        <w:autoSpaceDE w:val="0"/>
        <w:autoSpaceDN w:val="0"/>
        <w:adjustRightInd w:val="0"/>
        <w:rPr>
          <w:rFonts w:ascii="Times" w:hAnsi="Times" w:cs="Times"/>
          <w:color w:val="121921"/>
          <w:sz w:val="64"/>
          <w:szCs w:val="64"/>
          <w:lang w:val="fr-FR"/>
        </w:rPr>
      </w:pPr>
    </w:p>
    <w:p w14:paraId="21E53494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Times" w:hAnsi="Times" w:cs="Times"/>
          <w:color w:val="121921"/>
          <w:sz w:val="64"/>
          <w:szCs w:val="64"/>
          <w:lang w:val="fr-FR"/>
        </w:rPr>
      </w:pPr>
      <w:r>
        <w:rPr>
          <w:rFonts w:ascii="Times" w:hAnsi="Times" w:cs="Times"/>
          <w:color w:val="121921"/>
          <w:sz w:val="64"/>
          <w:szCs w:val="64"/>
          <w:lang w:val="fr-FR"/>
        </w:rPr>
        <w:t>Le haut du pavé. Dostoïevski en stéréo</w:t>
      </w:r>
    </w:p>
    <w:p w14:paraId="711EC8FC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6"/>
          <w:szCs w:val="26"/>
          <w:lang w:val="fr-FR"/>
        </w:rPr>
      </w:pPr>
      <w:r>
        <w:rPr>
          <w:rFonts w:ascii="Helvetica" w:hAnsi="Helvetica" w:cs="Helvetica"/>
          <w:color w:val="91999E"/>
          <w:sz w:val="26"/>
          <w:szCs w:val="26"/>
          <w:lang w:val="fr-FR"/>
        </w:rPr>
        <w:t>LE MONDE DES LIVRES | 03.03.2016 à 08h58 |</w:t>
      </w:r>
    </w:p>
    <w:p w14:paraId="451166BB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6"/>
          <w:szCs w:val="26"/>
          <w:lang w:val="fr-FR"/>
        </w:rPr>
      </w:pPr>
      <w:r>
        <w:rPr>
          <w:rFonts w:ascii="Helvetica" w:hAnsi="Helvetica" w:cs="Helvetica"/>
          <w:color w:val="91999E"/>
          <w:sz w:val="26"/>
          <w:szCs w:val="26"/>
          <w:lang w:val="fr-FR"/>
        </w:rPr>
        <w:t>Par Sabri Louatah (écrivain)</w:t>
      </w:r>
    </w:p>
    <w:p w14:paraId="479EDF16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26"/>
          <w:szCs w:val="26"/>
          <w:lang w:val="fr-FR"/>
        </w:rPr>
      </w:pPr>
    </w:p>
    <w:p w14:paraId="34E12FF3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87F87"/>
          <w:sz w:val="30"/>
          <w:szCs w:val="30"/>
          <w:lang w:val="fr-FR"/>
        </w:rPr>
      </w:pPr>
      <w:r>
        <w:rPr>
          <w:rFonts w:ascii="Helvetica" w:hAnsi="Helvetica" w:cs="Helvetica"/>
          <w:i/>
          <w:iCs/>
          <w:color w:val="787F87"/>
          <w:sz w:val="30"/>
          <w:szCs w:val="30"/>
          <w:lang w:val="fr-FR"/>
        </w:rPr>
        <w:t xml:space="preserve">Œuvres romanesques 1869-1874, </w:t>
      </w:r>
      <w:r>
        <w:rPr>
          <w:rFonts w:ascii="Helvetica" w:hAnsi="Helvetica" w:cs="Helvetica"/>
          <w:color w:val="787F87"/>
          <w:sz w:val="30"/>
          <w:szCs w:val="30"/>
          <w:lang w:val="fr-FR"/>
        </w:rPr>
        <w:t>de Fédor Dostoïevski, avant-propos, notes et traduction du russe par André Markowicz, Actes Sud, « Thesaurus », 1024 p., 29 €.</w:t>
      </w:r>
    </w:p>
    <w:p w14:paraId="3DF958C4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787F87"/>
          <w:sz w:val="30"/>
          <w:szCs w:val="30"/>
          <w:lang w:val="fr-FR"/>
        </w:rPr>
      </w:pPr>
    </w:p>
    <w:p w14:paraId="21CF28BA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  <w:r>
        <w:rPr>
          <w:rFonts w:ascii="Georgia" w:hAnsi="Georgia" w:cs="Georgia"/>
          <w:noProof/>
          <w:color w:val="121921"/>
          <w:sz w:val="32"/>
          <w:szCs w:val="32"/>
          <w:lang w:val="fr-FR"/>
        </w:rPr>
        <w:drawing>
          <wp:inline distT="0" distB="0" distL="0" distR="0" wp14:anchorId="5525455A" wp14:editId="11E26E95">
            <wp:extent cx="1629410" cy="1629410"/>
            <wp:effectExtent l="0" t="0" r="0" b="0"/>
            <wp:docPr id="176" name="Imag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A3306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</w:p>
    <w:p w14:paraId="566443A5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Dostoïevski dictait la plupart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de ses romans. Le poncif selon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lequel il n’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écrit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 pas bien est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sûrement vrai, mais qu’importe</w:t>
      </w:r>
      <w:r>
        <w:rPr>
          <w:rFonts w:ascii="Arial" w:hAnsi="Arial" w:cs="Arial"/>
          <w:color w:val="121921"/>
          <w:sz w:val="32"/>
          <w:szCs w:val="32"/>
          <w:lang w:val="fr-FR"/>
        </w:rPr>
        <w:t xml:space="preserve">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: chacune de ses phrases est hantée, par une voix qui lui es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t propre. D’où cette sensation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d’hallucination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auditive qui rend sa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lecture si singulière, comme une espèce de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 fièvre, une possession. Avant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les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traductions d’André Markowicz,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le lecteur français non russophone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 ne pouvait que le pressentir,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confusément. Il n’aura désormais plus d’excuse</w:t>
      </w:r>
      <w:r>
        <w:rPr>
          <w:rFonts w:ascii="Arial" w:hAnsi="Arial" w:cs="Arial"/>
          <w:color w:val="121921"/>
          <w:sz w:val="32"/>
          <w:szCs w:val="32"/>
          <w:lang w:val="fr-FR"/>
        </w:rPr>
        <w:t xml:space="preserve">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: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l’intégralité des</w:t>
      </w:r>
      <w:r w:rsidR="00307887"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 Œuvres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romanesques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es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t désormais disponible dans la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collection « Thesaurus » d’Actes Sud, où le cinq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uième et dernier tome vient de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paraître.</w:t>
      </w:r>
    </w:p>
    <w:p w14:paraId="5F84024E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  <w:r>
        <w:rPr>
          <w:rFonts w:ascii="Georgia" w:hAnsi="Georgia" w:cs="Georgia"/>
          <w:color w:val="121921"/>
          <w:sz w:val="32"/>
          <w:szCs w:val="32"/>
          <w:lang w:val="fr-FR"/>
        </w:rPr>
        <w:t>André Markowicz a consacré vingt-cinq ans de sa vie à restituer la langue de Dostoïevski — la langue du peuple russe, ébouillantée par les visions d’un auteur-prophète</w:t>
      </w:r>
      <w:r>
        <w:rPr>
          <w:rFonts w:ascii="Arial" w:hAnsi="Arial" w:cs="Arial"/>
          <w:color w:val="121921"/>
          <w:sz w:val="32"/>
          <w:szCs w:val="32"/>
          <w:lang w:val="fr-FR"/>
        </w:rPr>
        <w:t xml:space="preserve">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; mieux</w:t>
      </w:r>
      <w:r>
        <w:rPr>
          <w:rFonts w:ascii="Arial" w:hAnsi="Arial" w:cs="Arial"/>
          <w:color w:val="121921"/>
          <w:sz w:val="32"/>
          <w:szCs w:val="32"/>
          <w:lang w:val="fr-FR"/>
        </w:rPr>
        <w:t xml:space="preserve">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: il nous a donné à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entendre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 des romans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qu’on n’av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>ait fait que lire. Ce qui nous ébranlait dans le Dostoïevski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 « Pléiade</w:t>
      </w:r>
      <w:r>
        <w:rPr>
          <w:rFonts w:ascii="Arial" w:hAnsi="Arial" w:cs="Arial"/>
          <w:color w:val="121921"/>
          <w:sz w:val="32"/>
          <w:szCs w:val="32"/>
          <w:lang w:val="fr-FR"/>
        </w:rPr>
        <w:t xml:space="preserve">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», c’ét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aient les caractères extrêmes,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la théâtralité des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situations, ces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lastRenderedPageBreak/>
        <w:t xml:space="preserve">dialogues et ces comportements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imprévisibles. Mais la folie restait sur la page, à d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istance, car la langue restait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stable, bien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connue, celle des grands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romans du XIX</w:t>
      </w:r>
      <w:r>
        <w:rPr>
          <w:rFonts w:ascii="Georgia" w:hAnsi="Georgia" w:cs="Georgia"/>
          <w:color w:val="121921"/>
          <w:lang w:val="fr-FR"/>
        </w:rPr>
        <w:t>e 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siècle.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Le Dost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oïevski de Markowicz, c’est le passage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en stéréo HD.</w:t>
      </w:r>
    </w:p>
    <w:p w14:paraId="665963B8" w14:textId="77777777" w:rsidR="00307887" w:rsidRDefault="00307887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</w:p>
    <w:p w14:paraId="0E536D94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Times" w:hAnsi="Times" w:cs="Times"/>
          <w:color w:val="121921"/>
          <w:sz w:val="40"/>
          <w:szCs w:val="40"/>
          <w:lang w:val="fr-FR"/>
        </w:rPr>
      </w:pPr>
      <w:r>
        <w:rPr>
          <w:rFonts w:ascii="Times" w:hAnsi="Times" w:cs="Times"/>
          <w:color w:val="121921"/>
          <w:sz w:val="40"/>
          <w:szCs w:val="40"/>
          <w:lang w:val="fr-FR"/>
        </w:rPr>
        <w:t>Percevoir l’irrationnel</w:t>
      </w:r>
    </w:p>
    <w:p w14:paraId="319F712D" w14:textId="4674EDD0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  <w:r>
        <w:rPr>
          <w:rFonts w:ascii="Georgia" w:hAnsi="Georgia" w:cs="Georgia"/>
          <w:color w:val="121921"/>
          <w:sz w:val="32"/>
          <w:szCs w:val="32"/>
          <w:lang w:val="fr-FR"/>
        </w:rPr>
        <w:t>On entend les tournures familières du t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exte original, les répétitions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bizarres, les modulations incessantes qui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heurtent le goût français pour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l’euphonie et la clarté du propos.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Et pourtant, plus la langue de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Dostoïevski-Markowicz se rapproche du style oral (typiquement : « c’est pas</w:t>
      </w:r>
      <w:r>
        <w:rPr>
          <w:rFonts w:ascii="Arial" w:hAnsi="Arial" w:cs="Arial"/>
          <w:color w:val="121921"/>
          <w:sz w:val="32"/>
          <w:szCs w:val="32"/>
          <w:lang w:val="fr-FR"/>
        </w:rPr>
        <w:t xml:space="preserve">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» au lieu de « ce n’est pas</w:t>
      </w:r>
      <w:r>
        <w:rPr>
          <w:rFonts w:ascii="Arial" w:hAnsi="Arial" w:cs="Arial"/>
          <w:color w:val="121921"/>
          <w:sz w:val="32"/>
          <w:szCs w:val="32"/>
          <w:lang w:val="fr-FR"/>
        </w:rPr>
        <w:t xml:space="preserve">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»), plus elle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r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essemble à une sorte de langue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étrangère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— une langue étrangère où l’on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comprendrait tout mais où tout paraîtrait complètement irrationnel. Percevoir l’irrationnel par l’entremise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du langage rationnel, c’était, selon Nabokov, la meilleure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défin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ition de la poésie chez Gogol. Nabokov n’aimait pas Dostoïevski  ou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prétendait ne pas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 l’aimer. En effet, le langage chez Dostoïevski est juste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assez rat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ionnel pour être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intelligible, mais il épouse trop bien la violence de ce 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qu’il raconte pour en atténuer l’irrationalité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fondamentale. Ce que Markowicz rend parfaitement dans </w:t>
      </w:r>
      <w:r w:rsidR="00A221D9">
        <w:rPr>
          <w:rFonts w:ascii="Georgia" w:hAnsi="Georgia" w:cs="Georgia"/>
          <w:color w:val="121921"/>
          <w:sz w:val="32"/>
          <w:szCs w:val="32"/>
          <w:lang w:val="fr-FR"/>
        </w:rPr>
        <w:t xml:space="preserve">ses traductions des monologues </w:t>
      </w:r>
      <w:bookmarkStart w:id="0" w:name="_GoBack"/>
      <w:bookmarkEnd w:id="0"/>
      <w:r>
        <w:rPr>
          <w:rFonts w:ascii="Georgia" w:hAnsi="Georgia" w:cs="Georgia"/>
          <w:color w:val="121921"/>
          <w:sz w:val="32"/>
          <w:szCs w:val="32"/>
          <w:lang w:val="fr-FR"/>
        </w:rPr>
        <w:t>délirants de Raskolnikov ou de Kirilov.</w:t>
      </w:r>
    </w:p>
    <w:p w14:paraId="4CC59DD8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</w:pP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Le résultat n’est, selon moi, jamais aussi impressionnant que dans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Les Démons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, au quatrième volume des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Œuvres romanesques, 1869-1874,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 dont le narrateur-témoin ne comprend, justement, à peu près rien à c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e qui se passe. Traducteurs et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>préfaciers se sont ca</w:t>
      </w:r>
      <w:r w:rsidR="00307887">
        <w:rPr>
          <w:rFonts w:ascii="Georgia" w:hAnsi="Georgia" w:cs="Georgia"/>
          <w:color w:val="121921"/>
          <w:sz w:val="32"/>
          <w:szCs w:val="32"/>
          <w:lang w:val="fr-FR"/>
        </w:rPr>
        <w:t xml:space="preserve">ssé les dents sur ce 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roman à la construction impossible et au sujet fuyant. Dans son génial avant-propos, Markowicz nous explique pourquoi :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« </w:t>
      </w:r>
      <w:r>
        <w:rPr>
          <w:rFonts w:ascii="Arial" w:hAnsi="Arial" w:cs="Arial"/>
          <w:i/>
          <w:iCs/>
          <w:color w:val="121921"/>
          <w:sz w:val="32"/>
          <w:szCs w:val="32"/>
          <w:lang w:val="fr-FR"/>
        </w:rPr>
        <w:t> 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Le</w:t>
      </w:r>
      <w:r w:rsidR="00307887"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 roman n’existe que pour cela,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finaleme</w:t>
      </w:r>
      <w:r w:rsidR="00307887"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nt, que pour semer le trouble, égarer, emporter, faire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tournoyer, tournoyer,</w:t>
      </w:r>
      <w:r>
        <w:rPr>
          <w:rFonts w:ascii="Georgia" w:hAnsi="Georgia" w:cs="Georgia"/>
          <w:b/>
          <w:bCs/>
          <w:i/>
          <w:iCs/>
          <w:color w:val="121921"/>
          <w:sz w:val="32"/>
          <w:szCs w:val="32"/>
          <w:lang w:val="fr-FR"/>
        </w:rPr>
        <w:t xml:space="preserve"> </w:t>
      </w:r>
      <w:r w:rsidR="00307887"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tournoyer,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attraper des éclairs, et, à la fin, après plus </w:t>
      </w:r>
      <w:r w:rsidR="00307887"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de mille pages de cyclone, par une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espèce de bouffonnerie</w:t>
      </w:r>
      <w:r>
        <w:rPr>
          <w:rFonts w:ascii="Georgia" w:hAnsi="Georgia" w:cs="Georgia"/>
          <w:color w:val="121921"/>
          <w:sz w:val="32"/>
          <w:szCs w:val="32"/>
          <w:lang w:val="fr-FR"/>
        </w:rPr>
        <w:t xml:space="preserve"> indifférente,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pas m</w:t>
      </w:r>
      <w:r w:rsidR="00307887"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ême grinçante, non, grotesque,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abandonner le </w:t>
      </w:r>
      <w:r w:rsidR="00307887"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 xml:space="preserve">lecteur, essoufflé, avec rien. 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Possédé.</w:t>
      </w:r>
      <w:r>
        <w:rPr>
          <w:rFonts w:ascii="Arial" w:hAnsi="Arial" w:cs="Arial"/>
          <w:i/>
          <w:iCs/>
          <w:color w:val="121921"/>
          <w:sz w:val="32"/>
          <w:szCs w:val="32"/>
          <w:lang w:val="fr-FR"/>
        </w:rPr>
        <w:t> </w:t>
      </w:r>
      <w:r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  <w:t>»</w:t>
      </w:r>
    </w:p>
    <w:p w14:paraId="544540C8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color w:val="121921"/>
          <w:sz w:val="32"/>
          <w:szCs w:val="32"/>
          <w:lang w:val="fr-FR"/>
        </w:rPr>
      </w:pPr>
    </w:p>
    <w:p w14:paraId="7FD32646" w14:textId="77777777" w:rsidR="004902BE" w:rsidRDefault="00AD6366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  <w:hyperlink r:id="rId6" w:history="1">
        <w:r w:rsidR="004902BE" w:rsidRPr="00D251AF">
          <w:rPr>
            <w:rStyle w:val="Lienhypertexte"/>
            <w:rFonts w:ascii="Georgia" w:hAnsi="Georgia" w:cs="Georgia"/>
            <w:sz w:val="32"/>
            <w:szCs w:val="32"/>
            <w:lang w:val="fr-FR"/>
          </w:rPr>
          <w:t>http://abonnes.lemonde.fr/livres/article/2016/03/03/le-haut-du-pave-dostoievski-en-stereo_4875547_3260.html</w:t>
        </w:r>
      </w:hyperlink>
    </w:p>
    <w:p w14:paraId="627041AA" w14:textId="77777777" w:rsidR="004902BE" w:rsidRDefault="004902BE" w:rsidP="004902BE">
      <w:pPr>
        <w:widowControl w:val="0"/>
        <w:autoSpaceDE w:val="0"/>
        <w:autoSpaceDN w:val="0"/>
        <w:adjustRightInd w:val="0"/>
        <w:rPr>
          <w:rFonts w:ascii="Georgia" w:hAnsi="Georgia" w:cs="Georgia"/>
          <w:color w:val="121921"/>
          <w:sz w:val="32"/>
          <w:szCs w:val="32"/>
          <w:lang w:val="fr-FR"/>
        </w:rPr>
      </w:pPr>
    </w:p>
    <w:p w14:paraId="079408E1" w14:textId="77777777" w:rsidR="008E1CB8" w:rsidRDefault="008E1CB8"/>
    <w:sectPr w:rsidR="008E1CB8" w:rsidSect="008E1C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BE"/>
    <w:rsid w:val="00307887"/>
    <w:rsid w:val="004902BE"/>
    <w:rsid w:val="008E1CB8"/>
    <w:rsid w:val="00A221D9"/>
    <w:rsid w:val="00A23EF1"/>
    <w:rsid w:val="00A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19D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2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2BE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9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2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2BE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90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abonnes.lemonde.fr/livres/article/2016/03/03/le-haut-du-pave-dostoievski-en-stereo_4875547_3260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2870</Characters>
  <Application>Microsoft Macintosh Word</Application>
  <DocSecurity>0</DocSecurity>
  <Lines>77</Lines>
  <Paragraphs>34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3</cp:revision>
  <dcterms:created xsi:type="dcterms:W3CDTF">2016-03-03T12:39:00Z</dcterms:created>
  <dcterms:modified xsi:type="dcterms:W3CDTF">2016-03-03T21:42:00Z</dcterms:modified>
</cp:coreProperties>
</file>